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14 (Service Levels)</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tc>
        <w:tc>
          <w:tcPr>
            <w:shd w:fill="auto" w:val="clear"/>
          </w:tcPr>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bookmarkStart w:colFirst="0" w:colLast="0" w:name="_heading=h.oyrq6epap2um" w:id="0"/>
      <w:bookmarkEnd w:id="0"/>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Service Credit Cap.</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A: Service Levels and Service Credits </w:t>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1">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Applicable Service Levels are set out in Order Schedule 20 - Specification</w:t>
      </w:r>
    </w:p>
    <w:p w:rsidR="00000000" w:rsidDel="00000000" w:rsidP="00000000" w:rsidRDefault="00000000" w:rsidRPr="00000000" w14:paraId="00000038">
      <w:pPr>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B: Performance Monitoring </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Monitoring and Performance Review</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3C">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043">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Surveys</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er2e4spgmqy1"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5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DPS Ref: RM</w:t>
      <w:tab/>
      <w:t xml:space="preserve">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Order Schedule 14 (Service Levels)</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Ref: CCZZ25A04</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cs="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OOV8EqYY+PvrnlbMBA9XFsL7HA==">CgMxLjAyDmgub3lycTZlcGFwMnVtMg5oLmVyMmU0c3BnbXF5MTgAciExUU8xOW8ySWphMnNFa2ZIejdBdENNUGpmajBzaFN4b1Q=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2019-08-12T10:46:00Z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